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92B4" w14:textId="5C3C7D78" w:rsidR="00AE2C36" w:rsidRPr="00946409" w:rsidRDefault="00AE2C36" w:rsidP="00775917">
      <w:pPr>
        <w:spacing w:after="0" w:line="360" w:lineRule="auto"/>
        <w:jc w:val="center"/>
        <w:rPr>
          <w:rFonts w:ascii="Times New Roman" w:eastAsia="Times New Roman" w:hAnsi="Times New Roman" w:cs="Times New Roman"/>
          <w:b/>
          <w:bCs/>
          <w:color w:val="000000"/>
          <w:lang w:eastAsia="tr-TR"/>
        </w:rPr>
      </w:pPr>
      <w:r w:rsidRPr="00946409">
        <w:rPr>
          <w:rFonts w:ascii="Times New Roman" w:eastAsia="Times New Roman" w:hAnsi="Times New Roman" w:cs="Times New Roman"/>
          <w:b/>
          <w:bCs/>
          <w:color w:val="000000"/>
          <w:lang w:eastAsia="tr-TR"/>
        </w:rPr>
        <w:t>KAMU BİNALARINDA TASARRUF HEDEFİ VE UYGULAMA REHBERİ KAPSAMINDA YAPILACAK BİLDİRİM FORMATI</w:t>
      </w:r>
    </w:p>
    <w:p w14:paraId="24BC9E4A" w14:textId="1D68106B" w:rsidR="00B67AA5" w:rsidRPr="00946409" w:rsidRDefault="00FA40EE" w:rsidP="00AE2C36">
      <w:pPr>
        <w:spacing w:line="240" w:lineRule="auto"/>
        <w:ind w:firstLine="708"/>
        <w:jc w:val="both"/>
        <w:rPr>
          <w:rFonts w:ascii="Times New Roman" w:hAnsi="Times New Roman" w:cs="Times New Roman"/>
        </w:rPr>
      </w:pPr>
      <w:r w:rsidRPr="00946409">
        <w:rPr>
          <w:rFonts w:ascii="Times New Roman" w:eastAsia="Times New Roman" w:hAnsi="Times New Roman" w:cs="Times New Roman"/>
          <w:color w:val="000000"/>
          <w:lang w:eastAsia="tr-TR"/>
        </w:rPr>
        <w:t xml:space="preserve">Kamu Binalarında Tasarruf Hedefi ve Uygulama Rehberi kapsamına giren </w:t>
      </w:r>
      <w:r w:rsidR="00B67AA5" w:rsidRPr="00946409">
        <w:rPr>
          <w:rFonts w:ascii="Times New Roman" w:hAnsi="Times New Roman" w:cs="Times New Roman"/>
        </w:rPr>
        <w:t xml:space="preserve">kamu binaları tarafından 2016, 2017 ve 2018 yıllarına ait TEP cinsinden enerji tüketimlerinin aritmetik ortalaması alınarak referans tüketim hesaplanır. Tüketim verilerinin eksik olması ya da güvenilir olmaması durumunda 2016, 2017 veya 2018 yıllarından verileri eksiksiz ve güvenilir olan yıl veya yılların aritmetik ortalaması referans alınır. Referans Tüketim miktarı ve hesabı en geç 2020 yılı </w:t>
      </w:r>
      <w:proofErr w:type="gramStart"/>
      <w:r w:rsidR="00B67AA5" w:rsidRPr="00946409">
        <w:rPr>
          <w:rFonts w:ascii="Times New Roman" w:hAnsi="Times New Roman" w:cs="Times New Roman"/>
        </w:rPr>
        <w:t>Mart</w:t>
      </w:r>
      <w:proofErr w:type="gramEnd"/>
      <w:r w:rsidR="00B67AA5" w:rsidRPr="00946409">
        <w:rPr>
          <w:rFonts w:ascii="Times New Roman" w:hAnsi="Times New Roman" w:cs="Times New Roman"/>
        </w:rPr>
        <w:t xml:space="preserve"> ayı sonuna kadar Bakanlığa</w:t>
      </w:r>
      <w:r w:rsidR="00775917" w:rsidRPr="00946409">
        <w:rPr>
          <w:rFonts w:ascii="Times New Roman" w:hAnsi="Times New Roman" w:cs="Times New Roman"/>
        </w:rPr>
        <w:t xml:space="preserve"> resmi yazı ile</w:t>
      </w:r>
      <w:r w:rsidR="00B67AA5" w:rsidRPr="00946409">
        <w:rPr>
          <w:rFonts w:ascii="Times New Roman" w:hAnsi="Times New Roman" w:cs="Times New Roman"/>
        </w:rPr>
        <w:t xml:space="preserve"> sunulur</w:t>
      </w:r>
      <w:r w:rsidR="00AE2C36" w:rsidRPr="00946409">
        <w:rPr>
          <w:rFonts w:ascii="Times New Roman" w:hAnsi="Times New Roman" w:cs="Times New Roman"/>
        </w:rPr>
        <w:t>.</w:t>
      </w:r>
    </w:p>
    <w:p w14:paraId="4FC81785" w14:textId="74D1D7AC" w:rsidR="00B67AA5" w:rsidRPr="00946409" w:rsidRDefault="00B67AA5" w:rsidP="00AE2C36">
      <w:pPr>
        <w:spacing w:after="0"/>
        <w:rPr>
          <w:rFonts w:ascii="Times New Roman" w:hAnsi="Times New Roman" w:cs="Times New Roman"/>
          <w:b/>
        </w:rPr>
      </w:pPr>
      <w:r w:rsidRPr="00946409">
        <w:rPr>
          <w:rFonts w:ascii="Times New Roman" w:hAnsi="Times New Roman" w:cs="Times New Roman"/>
          <w:b/>
        </w:rPr>
        <w:t>Tablo 1. Referans Enerji Tüketim Bildirim Tablosu</w:t>
      </w:r>
    </w:p>
    <w:tbl>
      <w:tblPr>
        <w:tblW w:w="5000" w:type="pct"/>
        <w:tblCellMar>
          <w:left w:w="0" w:type="dxa"/>
          <w:right w:w="0" w:type="dxa"/>
        </w:tblCellMar>
        <w:tblLook w:val="0600" w:firstRow="0" w:lastRow="0" w:firstColumn="0" w:lastColumn="0" w:noHBand="1" w:noVBand="1"/>
      </w:tblPr>
      <w:tblGrid>
        <w:gridCol w:w="2296"/>
        <w:gridCol w:w="1650"/>
        <w:gridCol w:w="1274"/>
        <w:gridCol w:w="1597"/>
        <w:gridCol w:w="1757"/>
        <w:gridCol w:w="1757"/>
        <w:gridCol w:w="1757"/>
        <w:gridCol w:w="1650"/>
        <w:gridCol w:w="1650"/>
      </w:tblGrid>
      <w:tr w:rsidR="00B67AA5" w:rsidRPr="00946409" w14:paraId="5B3BF8CB" w14:textId="77777777" w:rsidTr="00B67AA5">
        <w:trPr>
          <w:trHeight w:val="888"/>
        </w:trPr>
        <w:tc>
          <w:tcPr>
            <w:tcW w:w="74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A3A49AE" w14:textId="3700F84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val="es-ES" w:eastAsia="tr-TR"/>
              </w:rPr>
              <w:t xml:space="preserve">Bina ya da bina </w:t>
            </w:r>
            <w:proofErr w:type="spellStart"/>
            <w:r w:rsidRPr="00946409">
              <w:rPr>
                <w:rFonts w:ascii="Times New Roman" w:eastAsia="Times New Roman" w:hAnsi="Times New Roman" w:cs="Times New Roman"/>
                <w:b/>
                <w:bCs/>
                <w:color w:val="000000"/>
                <w:kern w:val="24"/>
                <w:lang w:val="es-ES" w:eastAsia="tr-TR"/>
              </w:rPr>
              <w:t>grubu</w:t>
            </w:r>
            <w:proofErr w:type="spellEnd"/>
            <w:r w:rsidRPr="00946409">
              <w:rPr>
                <w:rFonts w:ascii="Times New Roman" w:eastAsia="Times New Roman" w:hAnsi="Times New Roman" w:cs="Times New Roman"/>
                <w:b/>
                <w:bCs/>
                <w:color w:val="000000"/>
                <w:kern w:val="24"/>
                <w:lang w:val="es-ES" w:eastAsia="tr-TR"/>
              </w:rPr>
              <w:t xml:space="preserve"> </w:t>
            </w:r>
            <w:proofErr w:type="spellStart"/>
            <w:r w:rsidRPr="00946409">
              <w:rPr>
                <w:rFonts w:ascii="Times New Roman" w:eastAsia="Times New Roman" w:hAnsi="Times New Roman" w:cs="Times New Roman"/>
                <w:b/>
                <w:bCs/>
                <w:color w:val="000000"/>
                <w:kern w:val="24"/>
                <w:lang w:val="es-ES" w:eastAsia="tr-TR"/>
              </w:rPr>
              <w:t>adı</w:t>
            </w:r>
            <w:proofErr w:type="spellEnd"/>
            <w:r w:rsidRPr="00946409">
              <w:rPr>
                <w:rStyle w:val="DipnotBavurusu"/>
                <w:rFonts w:ascii="Times New Roman" w:eastAsia="Times New Roman" w:hAnsi="Times New Roman" w:cs="Times New Roman"/>
                <w:b/>
                <w:bCs/>
                <w:color w:val="000000"/>
                <w:kern w:val="24"/>
                <w:lang w:val="es-ES" w:eastAsia="tr-TR"/>
              </w:rPr>
              <w:footnoteReference w:id="1"/>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92994D1"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YIL</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B3EF264" w14:textId="43184E0B"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Aktif Çalışan sayısı</w:t>
            </w:r>
            <w:r w:rsidR="00775917" w:rsidRPr="00946409">
              <w:rPr>
                <w:rStyle w:val="DipnotBavurusu"/>
                <w:rFonts w:ascii="Times New Roman" w:eastAsia="Times New Roman" w:hAnsi="Times New Roman" w:cs="Times New Roman"/>
                <w:b/>
                <w:bCs/>
                <w:color w:val="000000"/>
                <w:kern w:val="24"/>
                <w:lang w:eastAsia="tr-TR"/>
              </w:rPr>
              <w:footnoteReference w:id="2"/>
            </w: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8E59F5A" w14:textId="43A1C2B4"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Toplam inşaat alanı (m2)</w:t>
            </w:r>
            <w:r w:rsidRPr="00946409">
              <w:rPr>
                <w:rStyle w:val="DipnotBavurusu"/>
                <w:rFonts w:ascii="Times New Roman" w:eastAsia="Times New Roman" w:hAnsi="Times New Roman" w:cs="Times New Roman"/>
                <w:b/>
                <w:bCs/>
                <w:color w:val="000000"/>
                <w:kern w:val="24"/>
                <w:lang w:eastAsia="tr-TR"/>
              </w:rPr>
              <w:footnoteReference w:id="3"/>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0C1EFBF1"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Elektrik tüketimi (</w:t>
            </w:r>
            <w:proofErr w:type="spellStart"/>
            <w:r w:rsidRPr="00946409">
              <w:rPr>
                <w:rFonts w:ascii="Times New Roman" w:eastAsia="Times New Roman" w:hAnsi="Times New Roman" w:cs="Times New Roman"/>
                <w:b/>
                <w:bCs/>
                <w:color w:val="000000"/>
                <w:kern w:val="24"/>
                <w:lang w:eastAsia="tr-TR"/>
              </w:rPr>
              <w:t>kWh</w:t>
            </w:r>
            <w:proofErr w:type="spellEnd"/>
            <w:r w:rsidRPr="00946409">
              <w:rPr>
                <w:rFonts w:ascii="Times New Roman" w:eastAsia="Times New Roman" w:hAnsi="Times New Roman" w:cs="Times New Roman"/>
                <w:b/>
                <w:bCs/>
                <w:color w:val="000000"/>
                <w:kern w:val="24"/>
                <w:lang w:eastAsia="tr-TR"/>
              </w:rPr>
              <w:t>)</w:t>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BB40187" w14:textId="3103673E"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Elektrik tüketimi (TEP)</w:t>
            </w:r>
            <w:r w:rsidRPr="00946409">
              <w:rPr>
                <w:rStyle w:val="DipnotBavurusu"/>
                <w:rFonts w:ascii="Times New Roman" w:eastAsia="Times New Roman" w:hAnsi="Times New Roman" w:cs="Times New Roman"/>
                <w:b/>
                <w:bCs/>
                <w:color w:val="000000"/>
                <w:kern w:val="24"/>
                <w:lang w:eastAsia="tr-TR"/>
              </w:rPr>
              <w:footnoteReference w:id="4"/>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3AB5BA0" w14:textId="2D6DB8A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Yakıt tüketimi (</w:t>
            </w:r>
            <w:proofErr w:type="spellStart"/>
            <w:r w:rsidRPr="00946409">
              <w:rPr>
                <w:rFonts w:ascii="Times New Roman" w:eastAsia="Times New Roman" w:hAnsi="Times New Roman" w:cs="Times New Roman"/>
                <w:b/>
                <w:bCs/>
                <w:color w:val="000000"/>
                <w:kern w:val="24"/>
                <w:lang w:eastAsia="tr-TR"/>
              </w:rPr>
              <w:t>orj</w:t>
            </w:r>
            <w:proofErr w:type="spellEnd"/>
            <w:r w:rsidRPr="00946409">
              <w:rPr>
                <w:rFonts w:ascii="Times New Roman" w:eastAsia="Times New Roman" w:hAnsi="Times New Roman" w:cs="Times New Roman"/>
                <w:b/>
                <w:bCs/>
                <w:color w:val="000000"/>
                <w:kern w:val="24"/>
                <w:lang w:eastAsia="tr-TR"/>
              </w:rPr>
              <w:t xml:space="preserve">. </w:t>
            </w:r>
            <w:proofErr w:type="gramStart"/>
            <w:r w:rsidRPr="00946409">
              <w:rPr>
                <w:rFonts w:ascii="Times New Roman" w:eastAsia="Times New Roman" w:hAnsi="Times New Roman" w:cs="Times New Roman"/>
                <w:b/>
                <w:bCs/>
                <w:color w:val="000000"/>
                <w:kern w:val="24"/>
                <w:lang w:eastAsia="tr-TR"/>
              </w:rPr>
              <w:t>birim</w:t>
            </w:r>
            <w:proofErr w:type="gramEnd"/>
            <w:r w:rsidRPr="00946409">
              <w:rPr>
                <w:rFonts w:ascii="Times New Roman" w:eastAsia="Times New Roman" w:hAnsi="Times New Roman" w:cs="Times New Roman"/>
                <w:b/>
                <w:bCs/>
                <w:color w:val="000000"/>
                <w:kern w:val="24"/>
                <w:lang w:eastAsia="tr-TR"/>
              </w:rPr>
              <w:t>)</w:t>
            </w:r>
            <w:r w:rsidRPr="00946409">
              <w:rPr>
                <w:rStyle w:val="DipnotBavurusu"/>
                <w:rFonts w:ascii="Times New Roman" w:eastAsia="Times New Roman" w:hAnsi="Times New Roman" w:cs="Times New Roman"/>
                <w:b/>
                <w:bCs/>
                <w:color w:val="000000"/>
                <w:kern w:val="24"/>
                <w:lang w:eastAsia="tr-TR"/>
              </w:rPr>
              <w:footnoteReference w:id="5"/>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FE7032F"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Yakıt tüketimi (TEP)</w:t>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C71F7CB"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TOPLAM TÜKETİM (TEP)</w:t>
            </w:r>
          </w:p>
        </w:tc>
      </w:tr>
      <w:tr w:rsidR="00B67AA5" w:rsidRPr="00946409" w14:paraId="738FC0A9" w14:textId="77777777" w:rsidTr="00775917">
        <w:trPr>
          <w:trHeight w:val="193"/>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6C4599E" w14:textId="19009999"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5AEBC04"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2018</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B6FD972" w14:textId="7567799D"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CF5A4C8" w14:textId="2350FF8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6BF7999" w14:textId="41277F72"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AA8E6FB" w14:textId="689898B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CB20387" w14:textId="45B5C021"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43E0B70" w14:textId="7D5BCC33"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1B49A6C6" w14:textId="47114A4A"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r>
      <w:tr w:rsidR="00B67AA5" w:rsidRPr="00946409" w14:paraId="47516CF9" w14:textId="77777777" w:rsidTr="00775917">
        <w:trPr>
          <w:trHeight w:val="183"/>
        </w:trPr>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CDEFF3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1F1C981"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2017</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3CC42AF" w14:textId="40B4F0C1"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E273832" w14:textId="070AB45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1A3C37C" w14:textId="16604A2F"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28F467C" w14:textId="3C68AA7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D8FE61B" w14:textId="1B6CEA63"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47B523A" w14:textId="3C120C41"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A0E72A7" w14:textId="1DB1763F"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r>
      <w:tr w:rsidR="00B67AA5" w:rsidRPr="00946409" w14:paraId="3A9F3C15" w14:textId="77777777" w:rsidTr="00775917">
        <w:trPr>
          <w:trHeight w:val="301"/>
        </w:trPr>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9CE7369"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02E4CA7"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2016</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B3F5D6A" w14:textId="5702AFBA"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471A051" w14:textId="79052FAB"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62035FE" w14:textId="30F66ECB"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CC420B3" w14:textId="466522D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B273B2F" w14:textId="0C98363B"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B1650D8" w14:textId="1DBA3BE3"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2282EFB" w14:textId="7884E7B6"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r>
      <w:tr w:rsidR="00B67AA5" w:rsidRPr="00946409" w14:paraId="7A3227A7" w14:textId="77777777" w:rsidTr="00B67AA5">
        <w:trPr>
          <w:trHeight w:val="340"/>
        </w:trPr>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9D0D6DC"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BCF789C"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ORTALAMA</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152C579" w14:textId="2F23D410"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F6E93C3" w14:textId="5F6B36D8"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02793C2" w14:textId="4F6B38B4"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95C2CF5" w14:textId="60B308F3"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0355E51" w14:textId="26B3F462"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A700AD5" w14:textId="6213A529"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75C4791" w14:textId="1D1C4F1C"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r>
    </w:tbl>
    <w:p w14:paraId="5C2A8B66" w14:textId="2C342E3F" w:rsidR="00EF52F0" w:rsidRPr="00946409" w:rsidRDefault="00EF52F0" w:rsidP="00775917">
      <w:pPr>
        <w:spacing w:after="0"/>
        <w:rPr>
          <w:rFonts w:ascii="Times New Roman" w:hAnsi="Times New Roman" w:cs="Times New Roman"/>
        </w:rPr>
      </w:pPr>
    </w:p>
    <w:p w14:paraId="6C5BA68D" w14:textId="1E70A7B4" w:rsidR="00B67AA5" w:rsidRPr="00946409" w:rsidRDefault="00AE2C36" w:rsidP="00775917">
      <w:pPr>
        <w:ind w:firstLine="708"/>
        <w:jc w:val="both"/>
        <w:rPr>
          <w:rFonts w:ascii="Times New Roman" w:hAnsi="Times New Roman" w:cs="Times New Roman"/>
        </w:rPr>
      </w:pPr>
      <w:r w:rsidRPr="00946409">
        <w:rPr>
          <w:rFonts w:ascii="Times New Roman" w:eastAsia="Times New Roman" w:hAnsi="Times New Roman" w:cs="Times New Roman"/>
          <w:color w:val="000000"/>
          <w:lang w:eastAsia="tr-TR"/>
        </w:rPr>
        <w:t>Yıllık gerçekleşen enerji tüketim verileri, uygulanan enerji verimliliği önlemleri ve sağlanan tasarrufların hesabı dönem boyunca takip eden</w:t>
      </w:r>
      <w:r w:rsidR="00775917" w:rsidRPr="00946409">
        <w:rPr>
          <w:rFonts w:ascii="Times New Roman" w:eastAsia="Times New Roman" w:hAnsi="Times New Roman" w:cs="Times New Roman"/>
          <w:color w:val="000000"/>
          <w:lang w:eastAsia="tr-TR"/>
        </w:rPr>
        <w:t xml:space="preserve"> her</w:t>
      </w:r>
      <w:r w:rsidRPr="00946409">
        <w:rPr>
          <w:rFonts w:ascii="Times New Roman" w:eastAsia="Times New Roman" w:hAnsi="Times New Roman" w:cs="Times New Roman"/>
          <w:color w:val="000000"/>
          <w:lang w:eastAsia="tr-TR"/>
        </w:rPr>
        <w:t xml:space="preserve"> yılın </w:t>
      </w:r>
      <w:proofErr w:type="gramStart"/>
      <w:r w:rsidRPr="00946409">
        <w:rPr>
          <w:rFonts w:ascii="Times New Roman" w:eastAsia="Times New Roman" w:hAnsi="Times New Roman" w:cs="Times New Roman"/>
          <w:color w:val="000000"/>
          <w:lang w:eastAsia="tr-TR"/>
        </w:rPr>
        <w:t>Mart</w:t>
      </w:r>
      <w:proofErr w:type="gramEnd"/>
      <w:r w:rsidRPr="00946409">
        <w:rPr>
          <w:rFonts w:ascii="Times New Roman" w:eastAsia="Times New Roman" w:hAnsi="Times New Roman" w:cs="Times New Roman"/>
          <w:color w:val="000000"/>
          <w:lang w:eastAsia="tr-TR"/>
        </w:rPr>
        <w:t xml:space="preserve"> ayı sonuna </w:t>
      </w:r>
      <w:r w:rsidR="00775917" w:rsidRPr="00946409">
        <w:rPr>
          <w:rFonts w:ascii="Times New Roman" w:eastAsia="Times New Roman" w:hAnsi="Times New Roman" w:cs="Times New Roman"/>
          <w:color w:val="000000"/>
          <w:lang w:eastAsia="tr-TR"/>
        </w:rPr>
        <w:t>kadar Bakanlığa</w:t>
      </w:r>
      <w:r w:rsidRPr="00946409">
        <w:rPr>
          <w:rFonts w:ascii="Times New Roman" w:eastAsia="Times New Roman" w:hAnsi="Times New Roman" w:cs="Times New Roman"/>
          <w:color w:val="000000"/>
          <w:lang w:eastAsia="tr-TR"/>
        </w:rPr>
        <w:t xml:space="preserve"> bildirilir. Eğer 2019 yılında tamamlanan enerji verimliliği önlemi var ise 2020 Mart ayı sonuna kadar aşağıdaki formatta bildirilir. Sonraki yıllarda da tasarruf </w:t>
      </w:r>
      <w:bookmarkStart w:id="0" w:name="_GoBack"/>
      <w:bookmarkEnd w:id="0"/>
      <w:r w:rsidRPr="00946409">
        <w:rPr>
          <w:rFonts w:ascii="Times New Roman" w:eastAsia="Times New Roman" w:hAnsi="Times New Roman" w:cs="Times New Roman"/>
          <w:color w:val="000000"/>
          <w:lang w:eastAsia="tr-TR"/>
        </w:rPr>
        <w:t>bildirimi aşağıdaki formatta yapılır.</w:t>
      </w:r>
    </w:p>
    <w:p w14:paraId="1AB0CB2E" w14:textId="4BBECEE4" w:rsidR="00B67AA5" w:rsidRPr="00946409" w:rsidRDefault="00AE2C36" w:rsidP="00AE2C36">
      <w:pPr>
        <w:spacing w:after="0"/>
        <w:rPr>
          <w:rFonts w:ascii="Times New Roman" w:hAnsi="Times New Roman" w:cs="Times New Roman"/>
          <w:b/>
        </w:rPr>
      </w:pPr>
      <w:r w:rsidRPr="00946409">
        <w:rPr>
          <w:rFonts w:ascii="Times New Roman" w:hAnsi="Times New Roman" w:cs="Times New Roman"/>
          <w:b/>
        </w:rPr>
        <w:t>Tablo 2. Tasarruf Bildirim Formu</w:t>
      </w:r>
    </w:p>
    <w:tbl>
      <w:tblPr>
        <w:tblW w:w="5000" w:type="pct"/>
        <w:tblCellMar>
          <w:left w:w="0" w:type="dxa"/>
          <w:right w:w="0" w:type="dxa"/>
        </w:tblCellMar>
        <w:tblLook w:val="0600" w:firstRow="0" w:lastRow="0" w:firstColumn="0" w:lastColumn="0" w:noHBand="1" w:noVBand="1"/>
      </w:tblPr>
      <w:tblGrid>
        <w:gridCol w:w="1617"/>
        <w:gridCol w:w="1075"/>
        <w:gridCol w:w="1219"/>
        <w:gridCol w:w="625"/>
        <w:gridCol w:w="1342"/>
        <w:gridCol w:w="1376"/>
        <w:gridCol w:w="1791"/>
        <w:gridCol w:w="1514"/>
        <w:gridCol w:w="1622"/>
        <w:gridCol w:w="1600"/>
        <w:gridCol w:w="1607"/>
      </w:tblGrid>
      <w:tr w:rsidR="00B67AA5" w:rsidRPr="00946409" w14:paraId="7AD3E76A" w14:textId="77777777" w:rsidTr="00491B75">
        <w:trPr>
          <w:trHeight w:val="1266"/>
        </w:trPr>
        <w:tc>
          <w:tcPr>
            <w:tcW w:w="525"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1AEA9E4"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val="sv-SE" w:eastAsia="tr-TR"/>
              </w:rPr>
              <w:t>Bina veya bina grubu adı</w:t>
            </w:r>
          </w:p>
        </w:tc>
        <w:tc>
          <w:tcPr>
            <w:tcW w:w="34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4B874AE"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Toplam inşaat alanı (m2)</w:t>
            </w:r>
          </w:p>
        </w:tc>
        <w:tc>
          <w:tcPr>
            <w:tcW w:w="39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36123EF" w14:textId="5727E02C"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 xml:space="preserve">Aktif </w:t>
            </w:r>
            <w:r w:rsidR="00775917" w:rsidRPr="00946409">
              <w:rPr>
                <w:rFonts w:ascii="Times New Roman" w:eastAsia="Times New Roman" w:hAnsi="Times New Roman" w:cs="Times New Roman"/>
                <w:b/>
                <w:bCs/>
                <w:color w:val="000000"/>
                <w:kern w:val="24"/>
                <w:lang w:eastAsia="tr-TR"/>
              </w:rPr>
              <w:t>Çalışan</w:t>
            </w:r>
            <w:r w:rsidRPr="00946409">
              <w:rPr>
                <w:rFonts w:ascii="Times New Roman" w:eastAsia="Times New Roman" w:hAnsi="Times New Roman" w:cs="Times New Roman"/>
                <w:b/>
                <w:bCs/>
                <w:color w:val="000000"/>
                <w:kern w:val="24"/>
                <w:lang w:eastAsia="tr-TR"/>
              </w:rPr>
              <w:t xml:space="preserve"> Sayısı</w:t>
            </w:r>
            <w:r w:rsidR="00775917" w:rsidRPr="00946409">
              <w:rPr>
                <w:rStyle w:val="DipnotBavurusu"/>
                <w:rFonts w:ascii="Times New Roman" w:eastAsia="Times New Roman" w:hAnsi="Times New Roman" w:cs="Times New Roman"/>
                <w:b/>
                <w:bCs/>
                <w:color w:val="000000"/>
                <w:kern w:val="24"/>
                <w:lang w:eastAsia="tr-TR"/>
              </w:rPr>
              <w:footnoteReference w:id="6"/>
            </w:r>
          </w:p>
        </w:tc>
        <w:tc>
          <w:tcPr>
            <w:tcW w:w="203"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00AC50CF"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Yıl</w:t>
            </w:r>
          </w:p>
        </w:tc>
        <w:tc>
          <w:tcPr>
            <w:tcW w:w="4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DA4C587"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İlgili yıla ait elektrik tüketimi (TEP)</w:t>
            </w:r>
          </w:p>
        </w:tc>
        <w:tc>
          <w:tcPr>
            <w:tcW w:w="44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53AABF3"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İlgili yıla ait yakıt tüketimi (TEP)</w:t>
            </w:r>
          </w:p>
        </w:tc>
        <w:tc>
          <w:tcPr>
            <w:tcW w:w="58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6E381D7"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İlgili yıla ait toplam enerji tüketimi (TEP)</w:t>
            </w:r>
          </w:p>
        </w:tc>
        <w:tc>
          <w:tcPr>
            <w:tcW w:w="49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0F8D28C"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Referans enerji tüketimi (TEP)</w:t>
            </w: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4B21C99"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Uygulanan enerji verimliliği önlemleri</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0000E52"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Sağlanan tasarruf (TEP)</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D32397B" w14:textId="77777777"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Referans tüketimdeki payı (%)</w:t>
            </w:r>
          </w:p>
        </w:tc>
      </w:tr>
      <w:tr w:rsidR="00B67AA5" w:rsidRPr="00946409" w14:paraId="64246813" w14:textId="77777777" w:rsidTr="00AE2C36">
        <w:trPr>
          <w:trHeight w:val="259"/>
        </w:trPr>
        <w:tc>
          <w:tcPr>
            <w:tcW w:w="525"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E61D581" w14:textId="2BBF6DB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A488369" w14:textId="0F9A4115"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AE65346" w14:textId="3792A394"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203"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1156F4A" w14:textId="6292DF6F"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p>
        </w:tc>
        <w:tc>
          <w:tcPr>
            <w:tcW w:w="43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E5B089B" w14:textId="132A8DE9"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447"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565E7EA" w14:textId="16DC0EA5"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582"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17EFDE5" w14:textId="70DAD9A2" w:rsidR="00B67AA5" w:rsidRPr="00946409" w:rsidRDefault="00B67AA5" w:rsidP="00B67AA5">
            <w:pPr>
              <w:spacing w:after="0" w:line="240" w:lineRule="auto"/>
              <w:jc w:val="center"/>
              <w:textAlignment w:val="center"/>
              <w:rPr>
                <w:rFonts w:ascii="Times New Roman" w:eastAsia="Times New Roman" w:hAnsi="Times New Roman" w:cs="Times New Roman"/>
                <w:lang w:eastAsia="tr-TR"/>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FDF226A" w14:textId="4CCD08E3"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0E382FC0" w14:textId="3542E565"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1-</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C8C9A2A" w14:textId="16283DEB"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90306B0" w14:textId="2C2B59FE"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r>
      <w:tr w:rsidR="00B67AA5" w:rsidRPr="00946409" w14:paraId="0637A415" w14:textId="77777777" w:rsidTr="00AE2C36">
        <w:trPr>
          <w:trHeight w:val="235"/>
        </w:trPr>
        <w:tc>
          <w:tcPr>
            <w:tcW w:w="525" w:type="pct"/>
            <w:vMerge/>
            <w:tcBorders>
              <w:top w:val="single" w:sz="4" w:space="0" w:color="000000"/>
              <w:left w:val="single" w:sz="4" w:space="0" w:color="000000"/>
              <w:bottom w:val="single" w:sz="4" w:space="0" w:color="000000"/>
              <w:right w:val="single" w:sz="4" w:space="0" w:color="000000"/>
            </w:tcBorders>
            <w:vAlign w:val="center"/>
          </w:tcPr>
          <w:p w14:paraId="63B98E72"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49" w:type="pct"/>
            <w:vMerge/>
            <w:tcBorders>
              <w:top w:val="single" w:sz="4" w:space="0" w:color="000000"/>
              <w:left w:val="single" w:sz="4" w:space="0" w:color="000000"/>
              <w:bottom w:val="single" w:sz="4" w:space="0" w:color="000000"/>
              <w:right w:val="single" w:sz="4" w:space="0" w:color="000000"/>
            </w:tcBorders>
            <w:vAlign w:val="center"/>
          </w:tcPr>
          <w:p w14:paraId="609A9AAE"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96" w:type="pct"/>
            <w:vMerge/>
            <w:tcBorders>
              <w:top w:val="single" w:sz="4" w:space="0" w:color="000000"/>
              <w:left w:val="single" w:sz="4" w:space="0" w:color="000000"/>
              <w:bottom w:val="single" w:sz="4" w:space="0" w:color="000000"/>
              <w:right w:val="single" w:sz="4" w:space="0" w:color="000000"/>
            </w:tcBorders>
            <w:vAlign w:val="center"/>
          </w:tcPr>
          <w:p w14:paraId="262CFB4D"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14:paraId="26B176A4"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36" w:type="pct"/>
            <w:vMerge/>
            <w:tcBorders>
              <w:top w:val="single" w:sz="4" w:space="0" w:color="000000"/>
              <w:left w:val="single" w:sz="4" w:space="0" w:color="000000"/>
              <w:bottom w:val="single" w:sz="4" w:space="0" w:color="000000"/>
              <w:right w:val="single" w:sz="4" w:space="0" w:color="000000"/>
            </w:tcBorders>
            <w:vAlign w:val="center"/>
          </w:tcPr>
          <w:p w14:paraId="012137DD"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14:paraId="7268DB4B"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82" w:type="pct"/>
            <w:vMerge/>
            <w:tcBorders>
              <w:top w:val="single" w:sz="4" w:space="0" w:color="000000"/>
              <w:left w:val="single" w:sz="4" w:space="0" w:color="000000"/>
              <w:bottom w:val="single" w:sz="4" w:space="0" w:color="000000"/>
              <w:right w:val="single" w:sz="4" w:space="0" w:color="000000"/>
            </w:tcBorders>
            <w:vAlign w:val="center"/>
          </w:tcPr>
          <w:p w14:paraId="3BB1CD6D"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92" w:type="pct"/>
            <w:vMerge/>
            <w:tcBorders>
              <w:top w:val="single" w:sz="4" w:space="0" w:color="000000"/>
              <w:left w:val="single" w:sz="4" w:space="0" w:color="000000"/>
              <w:bottom w:val="single" w:sz="4" w:space="0" w:color="000000"/>
              <w:right w:val="single" w:sz="4" w:space="0" w:color="000000"/>
            </w:tcBorders>
            <w:vAlign w:val="center"/>
          </w:tcPr>
          <w:p w14:paraId="2F22934F"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C7A06D4" w14:textId="20DC0F4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2-</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064D7A5" w14:textId="7E01F545"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7B1AC9B" w14:textId="08714F75"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p>
        </w:tc>
      </w:tr>
      <w:tr w:rsidR="00B67AA5" w:rsidRPr="00946409" w14:paraId="528EADCE" w14:textId="77777777" w:rsidTr="00AE2C36">
        <w:trPr>
          <w:trHeight w:val="226"/>
        </w:trPr>
        <w:tc>
          <w:tcPr>
            <w:tcW w:w="525" w:type="pct"/>
            <w:vMerge/>
            <w:tcBorders>
              <w:top w:val="single" w:sz="4" w:space="0" w:color="000000"/>
              <w:left w:val="single" w:sz="4" w:space="0" w:color="000000"/>
              <w:bottom w:val="single" w:sz="4" w:space="0" w:color="000000"/>
              <w:right w:val="single" w:sz="4" w:space="0" w:color="000000"/>
            </w:tcBorders>
            <w:vAlign w:val="center"/>
          </w:tcPr>
          <w:p w14:paraId="1F9E7114"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49" w:type="pct"/>
            <w:vMerge/>
            <w:tcBorders>
              <w:top w:val="single" w:sz="4" w:space="0" w:color="000000"/>
              <w:left w:val="single" w:sz="4" w:space="0" w:color="000000"/>
              <w:bottom w:val="single" w:sz="4" w:space="0" w:color="000000"/>
              <w:right w:val="single" w:sz="4" w:space="0" w:color="000000"/>
            </w:tcBorders>
            <w:vAlign w:val="center"/>
          </w:tcPr>
          <w:p w14:paraId="1C64CFA1"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96" w:type="pct"/>
            <w:vMerge/>
            <w:tcBorders>
              <w:top w:val="single" w:sz="4" w:space="0" w:color="000000"/>
              <w:left w:val="single" w:sz="4" w:space="0" w:color="000000"/>
              <w:bottom w:val="single" w:sz="4" w:space="0" w:color="000000"/>
              <w:right w:val="single" w:sz="4" w:space="0" w:color="000000"/>
            </w:tcBorders>
            <w:vAlign w:val="center"/>
          </w:tcPr>
          <w:p w14:paraId="627E124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14:paraId="19900FE0"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36" w:type="pct"/>
            <w:vMerge/>
            <w:tcBorders>
              <w:top w:val="single" w:sz="4" w:space="0" w:color="000000"/>
              <w:left w:val="single" w:sz="4" w:space="0" w:color="000000"/>
              <w:bottom w:val="single" w:sz="4" w:space="0" w:color="000000"/>
              <w:right w:val="single" w:sz="4" w:space="0" w:color="000000"/>
            </w:tcBorders>
            <w:vAlign w:val="center"/>
          </w:tcPr>
          <w:p w14:paraId="46BDD54C"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14:paraId="7BACA50A"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82" w:type="pct"/>
            <w:vMerge/>
            <w:tcBorders>
              <w:top w:val="single" w:sz="4" w:space="0" w:color="000000"/>
              <w:left w:val="single" w:sz="4" w:space="0" w:color="000000"/>
              <w:bottom w:val="single" w:sz="4" w:space="0" w:color="000000"/>
              <w:right w:val="single" w:sz="4" w:space="0" w:color="000000"/>
            </w:tcBorders>
            <w:vAlign w:val="center"/>
          </w:tcPr>
          <w:p w14:paraId="29446812"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92" w:type="pct"/>
            <w:vMerge/>
            <w:tcBorders>
              <w:top w:val="single" w:sz="4" w:space="0" w:color="000000"/>
              <w:left w:val="single" w:sz="4" w:space="0" w:color="000000"/>
              <w:bottom w:val="single" w:sz="4" w:space="0" w:color="000000"/>
              <w:right w:val="single" w:sz="4" w:space="0" w:color="000000"/>
            </w:tcBorders>
            <w:vAlign w:val="center"/>
          </w:tcPr>
          <w:p w14:paraId="405942B2"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B607D6E"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3-</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FB8CBD5"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F70B9A4"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r>
      <w:tr w:rsidR="00B67AA5" w:rsidRPr="00946409" w14:paraId="7B44B526" w14:textId="77777777" w:rsidTr="00AE2C36">
        <w:trPr>
          <w:trHeight w:val="215"/>
        </w:trPr>
        <w:tc>
          <w:tcPr>
            <w:tcW w:w="525" w:type="pct"/>
            <w:vMerge/>
            <w:tcBorders>
              <w:top w:val="single" w:sz="4" w:space="0" w:color="000000"/>
              <w:left w:val="single" w:sz="4" w:space="0" w:color="000000"/>
              <w:bottom w:val="single" w:sz="4" w:space="0" w:color="000000"/>
              <w:right w:val="single" w:sz="4" w:space="0" w:color="000000"/>
            </w:tcBorders>
            <w:vAlign w:val="center"/>
          </w:tcPr>
          <w:p w14:paraId="46AEA0F6"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49" w:type="pct"/>
            <w:vMerge/>
            <w:tcBorders>
              <w:top w:val="single" w:sz="4" w:space="0" w:color="000000"/>
              <w:left w:val="single" w:sz="4" w:space="0" w:color="000000"/>
              <w:bottom w:val="single" w:sz="4" w:space="0" w:color="000000"/>
              <w:right w:val="single" w:sz="4" w:space="0" w:color="000000"/>
            </w:tcBorders>
            <w:vAlign w:val="center"/>
          </w:tcPr>
          <w:p w14:paraId="3461D123"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396" w:type="pct"/>
            <w:vMerge/>
            <w:tcBorders>
              <w:top w:val="single" w:sz="4" w:space="0" w:color="000000"/>
              <w:left w:val="single" w:sz="4" w:space="0" w:color="000000"/>
              <w:bottom w:val="single" w:sz="4" w:space="0" w:color="000000"/>
              <w:right w:val="single" w:sz="4" w:space="0" w:color="000000"/>
            </w:tcBorders>
            <w:vAlign w:val="center"/>
          </w:tcPr>
          <w:p w14:paraId="27A1086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14:paraId="67CC255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36" w:type="pct"/>
            <w:vMerge/>
            <w:tcBorders>
              <w:top w:val="single" w:sz="4" w:space="0" w:color="000000"/>
              <w:left w:val="single" w:sz="4" w:space="0" w:color="000000"/>
              <w:bottom w:val="single" w:sz="4" w:space="0" w:color="000000"/>
              <w:right w:val="single" w:sz="4" w:space="0" w:color="000000"/>
            </w:tcBorders>
            <w:vAlign w:val="center"/>
          </w:tcPr>
          <w:p w14:paraId="1DC1773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14:paraId="22072F15"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82" w:type="pct"/>
            <w:vMerge/>
            <w:tcBorders>
              <w:top w:val="single" w:sz="4" w:space="0" w:color="000000"/>
              <w:left w:val="single" w:sz="4" w:space="0" w:color="000000"/>
              <w:bottom w:val="single" w:sz="4" w:space="0" w:color="000000"/>
              <w:right w:val="single" w:sz="4" w:space="0" w:color="000000"/>
            </w:tcBorders>
            <w:vAlign w:val="center"/>
          </w:tcPr>
          <w:p w14:paraId="08A5F1A7"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492" w:type="pct"/>
            <w:vMerge/>
            <w:tcBorders>
              <w:top w:val="single" w:sz="4" w:space="0" w:color="000000"/>
              <w:left w:val="single" w:sz="4" w:space="0" w:color="000000"/>
              <w:bottom w:val="single" w:sz="4" w:space="0" w:color="000000"/>
              <w:right w:val="single" w:sz="4" w:space="0" w:color="000000"/>
            </w:tcBorders>
            <w:vAlign w:val="center"/>
          </w:tcPr>
          <w:p w14:paraId="61344FE9" w14:textId="77777777" w:rsidR="00B67AA5" w:rsidRPr="00946409" w:rsidRDefault="00B67AA5" w:rsidP="00B67AA5">
            <w:pPr>
              <w:spacing w:after="0" w:line="240" w:lineRule="auto"/>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EEA78FC"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b/>
                <w:bCs/>
                <w:color w:val="000000"/>
                <w:kern w:val="24"/>
                <w:lang w:eastAsia="tr-TR"/>
              </w:rPr>
              <w:t>Toplam</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4301F21"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5272F0B" w14:textId="77777777" w:rsidR="00B67AA5" w:rsidRPr="00946409" w:rsidRDefault="00B67AA5" w:rsidP="00B67AA5">
            <w:pPr>
              <w:spacing w:after="0" w:line="240" w:lineRule="auto"/>
              <w:jc w:val="both"/>
              <w:textAlignment w:val="center"/>
              <w:rPr>
                <w:rFonts w:ascii="Times New Roman" w:eastAsia="Times New Roman" w:hAnsi="Times New Roman" w:cs="Times New Roman"/>
                <w:lang w:eastAsia="tr-TR"/>
              </w:rPr>
            </w:pPr>
            <w:r w:rsidRPr="00946409">
              <w:rPr>
                <w:rFonts w:ascii="Times New Roman" w:eastAsia="Times New Roman" w:hAnsi="Times New Roman" w:cs="Times New Roman"/>
                <w:color w:val="000000"/>
                <w:kern w:val="24"/>
                <w:lang w:eastAsia="tr-TR"/>
              </w:rPr>
              <w:t> </w:t>
            </w:r>
          </w:p>
        </w:tc>
      </w:tr>
    </w:tbl>
    <w:p w14:paraId="51E0BB2E" w14:textId="77777777" w:rsidR="00B67AA5" w:rsidRPr="00B67AA5" w:rsidRDefault="00B67AA5" w:rsidP="00775917">
      <w:pPr>
        <w:spacing w:after="0"/>
        <w:rPr>
          <w:rFonts w:ascii="Times New Roman" w:hAnsi="Times New Roman" w:cs="Times New Roman"/>
          <w:sz w:val="24"/>
          <w:szCs w:val="24"/>
        </w:rPr>
      </w:pPr>
    </w:p>
    <w:sectPr w:rsidR="00B67AA5" w:rsidRPr="00B67AA5" w:rsidSect="00AE2C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299D" w14:textId="77777777" w:rsidR="00425EF5" w:rsidRDefault="00425EF5" w:rsidP="00B67AA5">
      <w:pPr>
        <w:spacing w:after="0" w:line="240" w:lineRule="auto"/>
      </w:pPr>
      <w:r>
        <w:separator/>
      </w:r>
    </w:p>
  </w:endnote>
  <w:endnote w:type="continuationSeparator" w:id="0">
    <w:p w14:paraId="4D2CFBCE" w14:textId="77777777" w:rsidR="00425EF5" w:rsidRDefault="00425EF5" w:rsidP="00B6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B2A6" w14:textId="77777777" w:rsidR="00425EF5" w:rsidRDefault="00425EF5" w:rsidP="00B67AA5">
      <w:pPr>
        <w:spacing w:after="0" w:line="240" w:lineRule="auto"/>
      </w:pPr>
      <w:r>
        <w:separator/>
      </w:r>
    </w:p>
  </w:footnote>
  <w:footnote w:type="continuationSeparator" w:id="0">
    <w:p w14:paraId="46DDD035" w14:textId="77777777" w:rsidR="00425EF5" w:rsidRDefault="00425EF5" w:rsidP="00B67AA5">
      <w:pPr>
        <w:spacing w:after="0" w:line="240" w:lineRule="auto"/>
      </w:pPr>
      <w:r>
        <w:continuationSeparator/>
      </w:r>
    </w:p>
  </w:footnote>
  <w:footnote w:id="1">
    <w:p w14:paraId="3B4153EC" w14:textId="23B939BA" w:rsidR="00B67AA5" w:rsidRDefault="00B67AA5">
      <w:pPr>
        <w:pStyle w:val="DipnotMetni"/>
      </w:pPr>
      <w:r>
        <w:rPr>
          <w:rStyle w:val="DipnotBavurusu"/>
        </w:rPr>
        <w:footnoteRef/>
      </w:r>
      <w:r>
        <w:t xml:space="preserve"> </w:t>
      </w:r>
      <w:r w:rsidR="00A30D65" w:rsidRPr="00B67AA5">
        <w:t xml:space="preserve">Merkezi bir tesisten ısıtılan ya da soğutulan birden fazla bina tek bir bina grubu olarak adlandırılır. </w:t>
      </w:r>
    </w:p>
  </w:footnote>
  <w:footnote w:id="2">
    <w:p w14:paraId="1676D95C" w14:textId="0667A46F" w:rsidR="00775917" w:rsidRDefault="00775917">
      <w:pPr>
        <w:pStyle w:val="DipnotMetni"/>
      </w:pPr>
      <w:r>
        <w:rPr>
          <w:rStyle w:val="DipnotBavurusu"/>
        </w:rPr>
        <w:footnoteRef/>
      </w:r>
      <w:r>
        <w:t xml:space="preserve"> Bina türüne göre bu başlık değişebilir. </w:t>
      </w:r>
      <w:r w:rsidR="00542C28">
        <w:t>H</w:t>
      </w:r>
      <w:r>
        <w:t>astaneler için yatak veya hasta sayısı, okullar için öğrenci sayısı</w:t>
      </w:r>
      <w:r w:rsidR="00542C28">
        <w:t>, çalışma süresi</w:t>
      </w:r>
      <w:r>
        <w:t xml:space="preserve"> gibi bina enerji tüketimini etkileyen en uygun değişken tanımlanabilir. </w:t>
      </w:r>
    </w:p>
  </w:footnote>
  <w:footnote w:id="3">
    <w:p w14:paraId="2FB75F10" w14:textId="23687026" w:rsidR="00B67AA5" w:rsidRDefault="00B67AA5">
      <w:pPr>
        <w:pStyle w:val="DipnotMetni"/>
      </w:pPr>
      <w:r>
        <w:rPr>
          <w:rStyle w:val="DipnotBavurusu"/>
        </w:rPr>
        <w:footnoteRef/>
      </w:r>
      <w:r>
        <w:t xml:space="preserve"> </w:t>
      </w:r>
      <w:r w:rsidR="00A30D65" w:rsidRPr="00B67AA5">
        <w:t xml:space="preserve">Toplam inşaat alanı: Avlular, ışıklıklar, her nevi hava bacaları, saçaklar ve ısıtma veya soğutma yapılmayan alanlar hariç, bodrum kat, asma kat ve çatı arasında yer alan mekanlar ve ortak alanlar dahil olmak üzere, binanın inşa edilen bütün katlarını ve kapalı alanlarının metrekare cinsinden toplamını ifade eder. </w:t>
      </w:r>
      <w:r w:rsidR="00946409" w:rsidRPr="00946409">
        <w:t>Bir bina grubu veya yerleşke içerisinde, birden fazla bağımsız binanın bulunması halinde, bağımsız binaların ayrı ayrı inşaat alanlarının toplamı, inşaat toplam alanı olarak kabul edilir</w:t>
      </w:r>
    </w:p>
  </w:footnote>
  <w:footnote w:id="4">
    <w:p w14:paraId="6A9C755C" w14:textId="753DD269" w:rsidR="00B67AA5" w:rsidRDefault="00B67AA5">
      <w:pPr>
        <w:pStyle w:val="DipnotMetni"/>
      </w:pPr>
      <w:r>
        <w:rPr>
          <w:rStyle w:val="DipnotBavurusu"/>
        </w:rPr>
        <w:footnoteRef/>
      </w:r>
      <w:r>
        <w:t xml:space="preserve"> </w:t>
      </w:r>
      <w:r w:rsidR="00A30D65" w:rsidRPr="00B67AA5">
        <w:t xml:space="preserve">TEP dönüşüm tablosuna </w:t>
      </w:r>
      <w:hyperlink r:id="rId1" w:history="1">
        <w:r w:rsidR="00A30D65" w:rsidRPr="00B67AA5">
          <w:rPr>
            <w:rStyle w:val="Kpr"/>
          </w:rPr>
          <w:t>http://enver.eie.gov.tr/PortalDesign/PortalControls/WebContentGosterim.aspx?Enc=51C9D1B02086EAFB3226180508D2B541</w:t>
        </w:r>
      </w:hyperlink>
      <w:r w:rsidR="00A30D65" w:rsidRPr="00B67AA5">
        <w:t xml:space="preserve"> adresi üzerinden erişim sağlanabilir.</w:t>
      </w:r>
    </w:p>
  </w:footnote>
  <w:footnote w:id="5">
    <w:p w14:paraId="655195F7" w14:textId="7E5EE192" w:rsidR="00B67AA5" w:rsidRDefault="00B67AA5">
      <w:pPr>
        <w:pStyle w:val="DipnotMetni"/>
      </w:pPr>
      <w:r>
        <w:rPr>
          <w:rStyle w:val="DipnotBavurusu"/>
        </w:rPr>
        <w:footnoteRef/>
      </w:r>
      <w:r>
        <w:t xml:space="preserve"> </w:t>
      </w:r>
      <w:r w:rsidR="00A30D65" w:rsidRPr="00B67AA5">
        <w:t xml:space="preserve">Farklı türde yakıtlar olması durumunda ilave sütün eklenebilir. Yakıtların birimleri yazılmalıdır. </w:t>
      </w:r>
    </w:p>
  </w:footnote>
  <w:footnote w:id="6">
    <w:p w14:paraId="2FCFD9C5" w14:textId="5B8FF022" w:rsidR="00775917" w:rsidRDefault="00775917" w:rsidP="00775917">
      <w:pPr>
        <w:pStyle w:val="DipnotMetni"/>
      </w:pPr>
      <w:r>
        <w:rPr>
          <w:rStyle w:val="DipnotBavurusu"/>
        </w:rPr>
        <w:footnoteRef/>
      </w:r>
      <w:r>
        <w:t xml:space="preserve"> Bina türüne göre bu başlık değişebilir. </w:t>
      </w:r>
      <w:r w:rsidR="00542C28">
        <w:t>H</w:t>
      </w:r>
      <w:r>
        <w:t>astaneler için yatak veya hasta sayısı, okullar için öğrenci sayısı</w:t>
      </w:r>
      <w:r w:rsidR="00542C28">
        <w:t>, çalışma süresi</w:t>
      </w:r>
      <w:r>
        <w:t xml:space="preserve"> gibi bina enerji tüketimini etkileyen en uygun değişken tanımlanabilir.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E6DE1"/>
    <w:multiLevelType w:val="hybridMultilevel"/>
    <w:tmpl w:val="23946B38"/>
    <w:lvl w:ilvl="0" w:tplc="DEF26A40">
      <w:start w:val="1"/>
      <w:numFmt w:val="decimal"/>
      <w:lvlText w:val="(%1)"/>
      <w:lvlJc w:val="left"/>
      <w:pPr>
        <w:tabs>
          <w:tab w:val="num" w:pos="720"/>
        </w:tabs>
        <w:ind w:left="720" w:hanging="360"/>
      </w:pPr>
    </w:lvl>
    <w:lvl w:ilvl="1" w:tplc="97366916" w:tentative="1">
      <w:start w:val="1"/>
      <w:numFmt w:val="decimal"/>
      <w:lvlText w:val="(%2)"/>
      <w:lvlJc w:val="left"/>
      <w:pPr>
        <w:tabs>
          <w:tab w:val="num" w:pos="1440"/>
        </w:tabs>
        <w:ind w:left="1440" w:hanging="360"/>
      </w:pPr>
    </w:lvl>
    <w:lvl w:ilvl="2" w:tplc="03EA7EAA" w:tentative="1">
      <w:start w:val="1"/>
      <w:numFmt w:val="decimal"/>
      <w:lvlText w:val="(%3)"/>
      <w:lvlJc w:val="left"/>
      <w:pPr>
        <w:tabs>
          <w:tab w:val="num" w:pos="2160"/>
        </w:tabs>
        <w:ind w:left="2160" w:hanging="360"/>
      </w:pPr>
    </w:lvl>
    <w:lvl w:ilvl="3" w:tplc="B58AF84C" w:tentative="1">
      <w:start w:val="1"/>
      <w:numFmt w:val="decimal"/>
      <w:lvlText w:val="(%4)"/>
      <w:lvlJc w:val="left"/>
      <w:pPr>
        <w:tabs>
          <w:tab w:val="num" w:pos="2880"/>
        </w:tabs>
        <w:ind w:left="2880" w:hanging="360"/>
      </w:pPr>
    </w:lvl>
    <w:lvl w:ilvl="4" w:tplc="2480B202" w:tentative="1">
      <w:start w:val="1"/>
      <w:numFmt w:val="decimal"/>
      <w:lvlText w:val="(%5)"/>
      <w:lvlJc w:val="left"/>
      <w:pPr>
        <w:tabs>
          <w:tab w:val="num" w:pos="3600"/>
        </w:tabs>
        <w:ind w:left="3600" w:hanging="360"/>
      </w:pPr>
    </w:lvl>
    <w:lvl w:ilvl="5" w:tplc="980E00F2" w:tentative="1">
      <w:start w:val="1"/>
      <w:numFmt w:val="decimal"/>
      <w:lvlText w:val="(%6)"/>
      <w:lvlJc w:val="left"/>
      <w:pPr>
        <w:tabs>
          <w:tab w:val="num" w:pos="4320"/>
        </w:tabs>
        <w:ind w:left="4320" w:hanging="360"/>
      </w:pPr>
    </w:lvl>
    <w:lvl w:ilvl="6" w:tplc="8A5C89B6" w:tentative="1">
      <w:start w:val="1"/>
      <w:numFmt w:val="decimal"/>
      <w:lvlText w:val="(%7)"/>
      <w:lvlJc w:val="left"/>
      <w:pPr>
        <w:tabs>
          <w:tab w:val="num" w:pos="5040"/>
        </w:tabs>
        <w:ind w:left="5040" w:hanging="360"/>
      </w:pPr>
    </w:lvl>
    <w:lvl w:ilvl="7" w:tplc="8356ED76" w:tentative="1">
      <w:start w:val="1"/>
      <w:numFmt w:val="decimal"/>
      <w:lvlText w:val="(%8)"/>
      <w:lvlJc w:val="left"/>
      <w:pPr>
        <w:tabs>
          <w:tab w:val="num" w:pos="5760"/>
        </w:tabs>
        <w:ind w:left="5760" w:hanging="360"/>
      </w:pPr>
    </w:lvl>
    <w:lvl w:ilvl="8" w:tplc="5564518E" w:tentative="1">
      <w:start w:val="1"/>
      <w:numFmt w:val="decimal"/>
      <w:lvlText w:val="(%9)"/>
      <w:lvlJc w:val="left"/>
      <w:pPr>
        <w:tabs>
          <w:tab w:val="num" w:pos="6480"/>
        </w:tabs>
        <w:ind w:left="6480" w:hanging="360"/>
      </w:pPr>
    </w:lvl>
  </w:abstractNum>
  <w:abstractNum w:abstractNumId="1" w15:restartNumberingAfterBreak="0">
    <w:nsid w:val="37B845E3"/>
    <w:multiLevelType w:val="hybridMultilevel"/>
    <w:tmpl w:val="92B23C0A"/>
    <w:lvl w:ilvl="0" w:tplc="B5B0C206">
      <w:start w:val="1"/>
      <w:numFmt w:val="decimal"/>
      <w:lvlText w:val="(%1)"/>
      <w:lvlJc w:val="left"/>
      <w:pPr>
        <w:tabs>
          <w:tab w:val="num" w:pos="720"/>
        </w:tabs>
        <w:ind w:left="720" w:hanging="360"/>
      </w:pPr>
    </w:lvl>
    <w:lvl w:ilvl="1" w:tplc="E9B0A132" w:tentative="1">
      <w:start w:val="1"/>
      <w:numFmt w:val="decimal"/>
      <w:lvlText w:val="(%2)"/>
      <w:lvlJc w:val="left"/>
      <w:pPr>
        <w:tabs>
          <w:tab w:val="num" w:pos="1440"/>
        </w:tabs>
        <w:ind w:left="1440" w:hanging="360"/>
      </w:pPr>
    </w:lvl>
    <w:lvl w:ilvl="2" w:tplc="84CAA89E" w:tentative="1">
      <w:start w:val="1"/>
      <w:numFmt w:val="decimal"/>
      <w:lvlText w:val="(%3)"/>
      <w:lvlJc w:val="left"/>
      <w:pPr>
        <w:tabs>
          <w:tab w:val="num" w:pos="2160"/>
        </w:tabs>
        <w:ind w:left="2160" w:hanging="360"/>
      </w:pPr>
    </w:lvl>
    <w:lvl w:ilvl="3" w:tplc="221866A6" w:tentative="1">
      <w:start w:val="1"/>
      <w:numFmt w:val="decimal"/>
      <w:lvlText w:val="(%4)"/>
      <w:lvlJc w:val="left"/>
      <w:pPr>
        <w:tabs>
          <w:tab w:val="num" w:pos="2880"/>
        </w:tabs>
        <w:ind w:left="2880" w:hanging="360"/>
      </w:pPr>
    </w:lvl>
    <w:lvl w:ilvl="4" w:tplc="5B62529C" w:tentative="1">
      <w:start w:val="1"/>
      <w:numFmt w:val="decimal"/>
      <w:lvlText w:val="(%5)"/>
      <w:lvlJc w:val="left"/>
      <w:pPr>
        <w:tabs>
          <w:tab w:val="num" w:pos="3600"/>
        </w:tabs>
        <w:ind w:left="3600" w:hanging="360"/>
      </w:pPr>
    </w:lvl>
    <w:lvl w:ilvl="5" w:tplc="BAA02256" w:tentative="1">
      <w:start w:val="1"/>
      <w:numFmt w:val="decimal"/>
      <w:lvlText w:val="(%6)"/>
      <w:lvlJc w:val="left"/>
      <w:pPr>
        <w:tabs>
          <w:tab w:val="num" w:pos="4320"/>
        </w:tabs>
        <w:ind w:left="4320" w:hanging="360"/>
      </w:pPr>
    </w:lvl>
    <w:lvl w:ilvl="6" w:tplc="C240BBD4" w:tentative="1">
      <w:start w:val="1"/>
      <w:numFmt w:val="decimal"/>
      <w:lvlText w:val="(%7)"/>
      <w:lvlJc w:val="left"/>
      <w:pPr>
        <w:tabs>
          <w:tab w:val="num" w:pos="5040"/>
        </w:tabs>
        <w:ind w:left="5040" w:hanging="360"/>
      </w:pPr>
    </w:lvl>
    <w:lvl w:ilvl="7" w:tplc="5894A00C" w:tentative="1">
      <w:start w:val="1"/>
      <w:numFmt w:val="decimal"/>
      <w:lvlText w:val="(%8)"/>
      <w:lvlJc w:val="left"/>
      <w:pPr>
        <w:tabs>
          <w:tab w:val="num" w:pos="5760"/>
        </w:tabs>
        <w:ind w:left="5760" w:hanging="360"/>
      </w:pPr>
    </w:lvl>
    <w:lvl w:ilvl="8" w:tplc="6DBE7108" w:tentative="1">
      <w:start w:val="1"/>
      <w:numFmt w:val="decimal"/>
      <w:lvlText w:val="(%9)"/>
      <w:lvlJc w:val="left"/>
      <w:pPr>
        <w:tabs>
          <w:tab w:val="num" w:pos="6480"/>
        </w:tabs>
        <w:ind w:left="6480" w:hanging="360"/>
      </w:pPr>
    </w:lvl>
  </w:abstractNum>
  <w:abstractNum w:abstractNumId="2" w15:restartNumberingAfterBreak="0">
    <w:nsid w:val="6EF630FA"/>
    <w:multiLevelType w:val="hybridMultilevel"/>
    <w:tmpl w:val="45809DDE"/>
    <w:lvl w:ilvl="0" w:tplc="F728581A">
      <w:start w:val="1"/>
      <w:numFmt w:val="decimal"/>
      <w:lvlText w:val="(%1)"/>
      <w:lvlJc w:val="left"/>
      <w:pPr>
        <w:tabs>
          <w:tab w:val="num" w:pos="720"/>
        </w:tabs>
        <w:ind w:left="720" w:hanging="360"/>
      </w:pPr>
    </w:lvl>
    <w:lvl w:ilvl="1" w:tplc="68B2D5F4" w:tentative="1">
      <w:start w:val="1"/>
      <w:numFmt w:val="decimal"/>
      <w:lvlText w:val="(%2)"/>
      <w:lvlJc w:val="left"/>
      <w:pPr>
        <w:tabs>
          <w:tab w:val="num" w:pos="1440"/>
        </w:tabs>
        <w:ind w:left="1440" w:hanging="360"/>
      </w:pPr>
    </w:lvl>
    <w:lvl w:ilvl="2" w:tplc="75DC096E" w:tentative="1">
      <w:start w:val="1"/>
      <w:numFmt w:val="decimal"/>
      <w:lvlText w:val="(%3)"/>
      <w:lvlJc w:val="left"/>
      <w:pPr>
        <w:tabs>
          <w:tab w:val="num" w:pos="2160"/>
        </w:tabs>
        <w:ind w:left="2160" w:hanging="360"/>
      </w:pPr>
    </w:lvl>
    <w:lvl w:ilvl="3" w:tplc="FEE66454" w:tentative="1">
      <w:start w:val="1"/>
      <w:numFmt w:val="decimal"/>
      <w:lvlText w:val="(%4)"/>
      <w:lvlJc w:val="left"/>
      <w:pPr>
        <w:tabs>
          <w:tab w:val="num" w:pos="2880"/>
        </w:tabs>
        <w:ind w:left="2880" w:hanging="360"/>
      </w:pPr>
    </w:lvl>
    <w:lvl w:ilvl="4" w:tplc="5C720160" w:tentative="1">
      <w:start w:val="1"/>
      <w:numFmt w:val="decimal"/>
      <w:lvlText w:val="(%5)"/>
      <w:lvlJc w:val="left"/>
      <w:pPr>
        <w:tabs>
          <w:tab w:val="num" w:pos="3600"/>
        </w:tabs>
        <w:ind w:left="3600" w:hanging="360"/>
      </w:pPr>
    </w:lvl>
    <w:lvl w:ilvl="5" w:tplc="31C008CA" w:tentative="1">
      <w:start w:val="1"/>
      <w:numFmt w:val="decimal"/>
      <w:lvlText w:val="(%6)"/>
      <w:lvlJc w:val="left"/>
      <w:pPr>
        <w:tabs>
          <w:tab w:val="num" w:pos="4320"/>
        </w:tabs>
        <w:ind w:left="4320" w:hanging="360"/>
      </w:pPr>
    </w:lvl>
    <w:lvl w:ilvl="6" w:tplc="A37C78DA" w:tentative="1">
      <w:start w:val="1"/>
      <w:numFmt w:val="decimal"/>
      <w:lvlText w:val="(%7)"/>
      <w:lvlJc w:val="left"/>
      <w:pPr>
        <w:tabs>
          <w:tab w:val="num" w:pos="5040"/>
        </w:tabs>
        <w:ind w:left="5040" w:hanging="360"/>
      </w:pPr>
    </w:lvl>
    <w:lvl w:ilvl="7" w:tplc="BE729C10" w:tentative="1">
      <w:start w:val="1"/>
      <w:numFmt w:val="decimal"/>
      <w:lvlText w:val="(%8)"/>
      <w:lvlJc w:val="left"/>
      <w:pPr>
        <w:tabs>
          <w:tab w:val="num" w:pos="5760"/>
        </w:tabs>
        <w:ind w:left="5760" w:hanging="360"/>
      </w:pPr>
    </w:lvl>
    <w:lvl w:ilvl="8" w:tplc="A9D27072" w:tentative="1">
      <w:start w:val="1"/>
      <w:numFmt w:val="decimal"/>
      <w:lvlText w:val="(%9)"/>
      <w:lvlJc w:val="left"/>
      <w:pPr>
        <w:tabs>
          <w:tab w:val="num" w:pos="6480"/>
        </w:tabs>
        <w:ind w:left="6480" w:hanging="360"/>
      </w:pPr>
    </w:lvl>
  </w:abstractNum>
  <w:abstractNum w:abstractNumId="3" w15:restartNumberingAfterBreak="0">
    <w:nsid w:val="75307A0E"/>
    <w:multiLevelType w:val="hybridMultilevel"/>
    <w:tmpl w:val="83245D08"/>
    <w:lvl w:ilvl="0" w:tplc="625E2E6A">
      <w:start w:val="1"/>
      <w:numFmt w:val="decimal"/>
      <w:lvlText w:val="(%1)"/>
      <w:lvlJc w:val="left"/>
      <w:pPr>
        <w:tabs>
          <w:tab w:val="num" w:pos="720"/>
        </w:tabs>
        <w:ind w:left="720" w:hanging="360"/>
      </w:pPr>
    </w:lvl>
    <w:lvl w:ilvl="1" w:tplc="DE366642" w:tentative="1">
      <w:start w:val="1"/>
      <w:numFmt w:val="decimal"/>
      <w:lvlText w:val="(%2)"/>
      <w:lvlJc w:val="left"/>
      <w:pPr>
        <w:tabs>
          <w:tab w:val="num" w:pos="1440"/>
        </w:tabs>
        <w:ind w:left="1440" w:hanging="360"/>
      </w:pPr>
    </w:lvl>
    <w:lvl w:ilvl="2" w:tplc="7C5A03D8" w:tentative="1">
      <w:start w:val="1"/>
      <w:numFmt w:val="decimal"/>
      <w:lvlText w:val="(%3)"/>
      <w:lvlJc w:val="left"/>
      <w:pPr>
        <w:tabs>
          <w:tab w:val="num" w:pos="2160"/>
        </w:tabs>
        <w:ind w:left="2160" w:hanging="360"/>
      </w:pPr>
    </w:lvl>
    <w:lvl w:ilvl="3" w:tplc="BE9A99EE" w:tentative="1">
      <w:start w:val="1"/>
      <w:numFmt w:val="decimal"/>
      <w:lvlText w:val="(%4)"/>
      <w:lvlJc w:val="left"/>
      <w:pPr>
        <w:tabs>
          <w:tab w:val="num" w:pos="2880"/>
        </w:tabs>
        <w:ind w:left="2880" w:hanging="360"/>
      </w:pPr>
    </w:lvl>
    <w:lvl w:ilvl="4" w:tplc="A970976A" w:tentative="1">
      <w:start w:val="1"/>
      <w:numFmt w:val="decimal"/>
      <w:lvlText w:val="(%5)"/>
      <w:lvlJc w:val="left"/>
      <w:pPr>
        <w:tabs>
          <w:tab w:val="num" w:pos="3600"/>
        </w:tabs>
        <w:ind w:left="3600" w:hanging="360"/>
      </w:pPr>
    </w:lvl>
    <w:lvl w:ilvl="5" w:tplc="64322B06" w:tentative="1">
      <w:start w:val="1"/>
      <w:numFmt w:val="decimal"/>
      <w:lvlText w:val="(%6)"/>
      <w:lvlJc w:val="left"/>
      <w:pPr>
        <w:tabs>
          <w:tab w:val="num" w:pos="4320"/>
        </w:tabs>
        <w:ind w:left="4320" w:hanging="360"/>
      </w:pPr>
    </w:lvl>
    <w:lvl w:ilvl="6" w:tplc="FF5AD2B6" w:tentative="1">
      <w:start w:val="1"/>
      <w:numFmt w:val="decimal"/>
      <w:lvlText w:val="(%7)"/>
      <w:lvlJc w:val="left"/>
      <w:pPr>
        <w:tabs>
          <w:tab w:val="num" w:pos="5040"/>
        </w:tabs>
        <w:ind w:left="5040" w:hanging="360"/>
      </w:pPr>
    </w:lvl>
    <w:lvl w:ilvl="7" w:tplc="2C4CC5DC" w:tentative="1">
      <w:start w:val="1"/>
      <w:numFmt w:val="decimal"/>
      <w:lvlText w:val="(%8)"/>
      <w:lvlJc w:val="left"/>
      <w:pPr>
        <w:tabs>
          <w:tab w:val="num" w:pos="5760"/>
        </w:tabs>
        <w:ind w:left="5760" w:hanging="360"/>
      </w:pPr>
    </w:lvl>
    <w:lvl w:ilvl="8" w:tplc="2C562632"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15"/>
    <w:rsid w:val="00107A15"/>
    <w:rsid w:val="00425EF5"/>
    <w:rsid w:val="00491B75"/>
    <w:rsid w:val="00542C28"/>
    <w:rsid w:val="00775917"/>
    <w:rsid w:val="007B2172"/>
    <w:rsid w:val="008036CC"/>
    <w:rsid w:val="00946409"/>
    <w:rsid w:val="00A30D65"/>
    <w:rsid w:val="00A831B0"/>
    <w:rsid w:val="00AE2C36"/>
    <w:rsid w:val="00B67AA5"/>
    <w:rsid w:val="00EF52F0"/>
    <w:rsid w:val="00FA4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FF7C"/>
  <w15:chartTrackingRefBased/>
  <w15:docId w15:val="{59C61CBD-1266-477E-8A98-99821740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7A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67A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7AA5"/>
    <w:rPr>
      <w:sz w:val="20"/>
      <w:szCs w:val="20"/>
    </w:rPr>
  </w:style>
  <w:style w:type="character" w:styleId="DipnotBavurusu">
    <w:name w:val="footnote reference"/>
    <w:basedOn w:val="VarsaylanParagrafYazTipi"/>
    <w:uiPriority w:val="99"/>
    <w:semiHidden/>
    <w:unhideWhenUsed/>
    <w:rsid w:val="00B67AA5"/>
    <w:rPr>
      <w:vertAlign w:val="superscript"/>
    </w:rPr>
  </w:style>
  <w:style w:type="paragraph" w:styleId="ListeParagraf">
    <w:name w:val="List Paragraph"/>
    <w:basedOn w:val="Normal"/>
    <w:uiPriority w:val="34"/>
    <w:qFormat/>
    <w:rsid w:val="00B67AA5"/>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67AA5"/>
    <w:rPr>
      <w:color w:val="0563C1" w:themeColor="hyperlink"/>
      <w:u w:val="single"/>
    </w:rPr>
  </w:style>
  <w:style w:type="character" w:styleId="zmlenmeyenBahsetme">
    <w:name w:val="Unresolved Mention"/>
    <w:basedOn w:val="VarsaylanParagrafYazTipi"/>
    <w:uiPriority w:val="99"/>
    <w:semiHidden/>
    <w:unhideWhenUsed/>
    <w:rsid w:val="00B6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0629">
      <w:bodyDiv w:val="1"/>
      <w:marLeft w:val="0"/>
      <w:marRight w:val="0"/>
      <w:marTop w:val="0"/>
      <w:marBottom w:val="0"/>
      <w:divBdr>
        <w:top w:val="none" w:sz="0" w:space="0" w:color="auto"/>
        <w:left w:val="none" w:sz="0" w:space="0" w:color="auto"/>
        <w:bottom w:val="none" w:sz="0" w:space="0" w:color="auto"/>
        <w:right w:val="none" w:sz="0" w:space="0" w:color="auto"/>
      </w:divBdr>
    </w:div>
    <w:div w:id="942689628">
      <w:bodyDiv w:val="1"/>
      <w:marLeft w:val="0"/>
      <w:marRight w:val="0"/>
      <w:marTop w:val="0"/>
      <w:marBottom w:val="0"/>
      <w:divBdr>
        <w:top w:val="none" w:sz="0" w:space="0" w:color="auto"/>
        <w:left w:val="none" w:sz="0" w:space="0" w:color="auto"/>
        <w:bottom w:val="none" w:sz="0" w:space="0" w:color="auto"/>
        <w:right w:val="none" w:sz="0" w:space="0" w:color="auto"/>
      </w:divBdr>
    </w:div>
    <w:div w:id="1645966019">
      <w:bodyDiv w:val="1"/>
      <w:marLeft w:val="0"/>
      <w:marRight w:val="0"/>
      <w:marTop w:val="0"/>
      <w:marBottom w:val="0"/>
      <w:divBdr>
        <w:top w:val="none" w:sz="0" w:space="0" w:color="auto"/>
        <w:left w:val="none" w:sz="0" w:space="0" w:color="auto"/>
        <w:bottom w:val="none" w:sz="0" w:space="0" w:color="auto"/>
        <w:right w:val="none" w:sz="0" w:space="0" w:color="auto"/>
      </w:divBdr>
    </w:div>
    <w:div w:id="1723796086">
      <w:bodyDiv w:val="1"/>
      <w:marLeft w:val="0"/>
      <w:marRight w:val="0"/>
      <w:marTop w:val="0"/>
      <w:marBottom w:val="0"/>
      <w:divBdr>
        <w:top w:val="none" w:sz="0" w:space="0" w:color="auto"/>
        <w:left w:val="none" w:sz="0" w:space="0" w:color="auto"/>
        <w:bottom w:val="none" w:sz="0" w:space="0" w:color="auto"/>
        <w:right w:val="none" w:sz="0" w:space="0" w:color="auto"/>
      </w:divBdr>
    </w:div>
    <w:div w:id="2028482019">
      <w:bodyDiv w:val="1"/>
      <w:marLeft w:val="0"/>
      <w:marRight w:val="0"/>
      <w:marTop w:val="0"/>
      <w:marBottom w:val="0"/>
      <w:divBdr>
        <w:top w:val="none" w:sz="0" w:space="0" w:color="auto"/>
        <w:left w:val="none" w:sz="0" w:space="0" w:color="auto"/>
        <w:bottom w:val="none" w:sz="0" w:space="0" w:color="auto"/>
        <w:right w:val="none" w:sz="0" w:space="0" w:color="auto"/>
      </w:divBdr>
    </w:div>
    <w:div w:id="20988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ver.eie.gov.tr/PortalDesign/PortalControls/WebContentGosterim.aspx?Enc=51C9D1B02086EAFB3226180508D2B5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189B-C1D3-4269-A80F-4EFF8E4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Kursat Kabakci</dc:creator>
  <cp:keywords/>
  <dc:description/>
  <cp:lastModifiedBy>Oguz Kursat Kabakci</cp:lastModifiedBy>
  <cp:revision>7</cp:revision>
  <dcterms:created xsi:type="dcterms:W3CDTF">2020-01-24T07:18:00Z</dcterms:created>
  <dcterms:modified xsi:type="dcterms:W3CDTF">2020-08-26T05:59:00Z</dcterms:modified>
</cp:coreProperties>
</file>